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contextualSpacing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证券代码：000966     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证券简称：长源电力   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编号：20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-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0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2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24"/>
          <w:lang w:eastAsia="zh-CN"/>
        </w:rPr>
        <w:t>国家能源集团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24"/>
        </w:rPr>
        <w:t>长源电力股份有限公司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2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2"/>
          <w:szCs w:val="24"/>
        </w:rPr>
        <w:t>投资者关系活动记录表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24"/>
          <w:szCs w:val="24"/>
        </w:rPr>
      </w:pP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7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投资者关系</w:t>
            </w:r>
          </w:p>
          <w:p>
            <w:pPr>
              <w:keepNext w:val="0"/>
              <w:keepLines w:val="0"/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活动类别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1"/>
              </w:rPr>
              <w:t xml:space="preserve">特定对象调研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1"/>
              </w:rPr>
              <w:t xml:space="preserve">分析师会议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1"/>
              </w:rPr>
              <w:t xml:space="preserve">媒体采访   </w:t>
            </w: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1"/>
                <w:lang w:eastAsia="zh-CN"/>
              </w:rPr>
              <w:t>☑</w:t>
            </w:r>
            <w:r>
              <w:rPr>
                <w:rFonts w:hint="default" w:ascii="Times New Roman" w:hAnsi="Times New Roman" w:eastAsia="宋体" w:cs="Times New Roman"/>
                <w:sz w:val="24"/>
                <w:szCs w:val="21"/>
              </w:rPr>
              <w:t xml:space="preserve">业绩说明会     </w:t>
            </w:r>
          </w:p>
          <w:p>
            <w:pPr>
              <w:keepNext w:val="0"/>
              <w:keepLines w:val="0"/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1"/>
              </w:rPr>
              <w:t xml:space="preserve">新闻发布会 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1"/>
              </w:rPr>
              <w:t xml:space="preserve">路演活动 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1"/>
              </w:rPr>
              <w:t xml:space="preserve">现场参观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活动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参与人员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投资者：通过网络参加的投资者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长源电力：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  <w:t>郑峰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、汤湘希、朱虹、胡谦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、潘承亮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  <w:t>赵雪松、叶建兵、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刘彬、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韩国燕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盛梦莹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李鸣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  <w:t>、屈葳、刘硕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  <w:t>保荐代表人：冯强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  <w:t>2025年5月20日（星期二）15:00~16:00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val="en-US" w:eastAsia="zh-CN"/>
              </w:rPr>
              <w:t>武汉市洪山区徐东大街63号国家能源大厦206会议室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形式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  <w:lang w:eastAsia="zh-CN"/>
              </w:rPr>
              <w:t>网络互动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交流内容及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具体问答记录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问总会计师朱虹：请问公司2024年业绩同比提升的主要原因是什么？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答：您好！2024年公司实现利润总额95,604.18万元，同比增加44,213.06万元；实现归属母公司的净利润71,522.25万元，同比增加36,616.04万元。公司2024年业绩同比提升的主要原因是发电量同比增加及燃煤价格同比降低。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问独立董事汤湘希：为贯彻落实《公司法》，中国证监会下发新的《上市公司章程指引》，取消了监事会和监事，职能由审计委员会承担，同时增加了独立董事章节，进一步强化独立董事的作用。请问作为独立董事，如何更好地履行职责，发挥作用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答：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您好！随着中国证监会于2025年3月28日出台新的《上市公司章程指引》，进一步加强了董事会审计委员会的监督职能，对独立董事履职提出了更高的要求。 作为独立董事，应从以下几个方面切实履行职责：一是强化监督职能，严格遵循新的《上市公司章程指引》要求，依托审计委员会全面承接原监事会职责，加强对财务报告、内控及关联交易、募集资金、资产减值等重点领域的监督，确保公司治理合规透明；二是提升专业能力，持续关注监管动态与行业风险，结合公司业务特点深化专业知识储备，在董事会决策中提供客观独立的判断，尤其对重大事项提供专业意见；三是深化中小股东保护，通过投资者沟通渠道（如业绩说明会等）及时回应关切，充分关注有关中小股东权益的事项，必要时提议召开临时股东大会； 四是推动公司治理优化，协助公司董事会修订完善《公司章程》及相关工作制度，推动建立权责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晰的履职保障机制，确保独立意见客观公正。感谢您的关注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问总经理郑峰：公司“十五五”规划制定进展情况如何，未来公司发展的主要方向是什么？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答：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您好！规划进展方面，公司于2024年9月启动“十五五”发展规划编制，12月底已完成规划初稿，2025年将深度对接并主动融入区域及地方发展规划，立足湖北区域及公司实际，进一步优化完善“十五五”规划，年底基本形成规划文本。未来公司发展方向方面，主动融入新型能源体系及新型电力系统构建，发力传统产业转型升级和战新产业规模质量发展，加快推进绿色低碳转型，持续优化资产结构，稳健实施有效投资，合理实施到期煤电机组改造，因地制宜探索优质煤电机组低碳化改造，全面加快风电产业高质量发展，持续优化光伏产业发展，大力拓展综合能源服务，着力培育新质生产力，提升核心竞争力，推动公司健康可持续高质量发展。感谢您的关注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问总经理郑峰：新能源装机目标超400万千瓦、清洁能源占比超40%的具体落地计划是什么？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答：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您好！因“十四五期间”国内及湖北省新能源发展较快，国家发改委出台136号文电改新政，新能源全面入市政策推进，新能源发展、经营的政策环境均发生较大变化，推动新能源发展从简单粗放式发展向精细精益、集约化高质量发展转变，受相关政策影响，公司新能源发展从高速度发展阶段向高质量发展阶段、装机规模优先向质量效益优先转变，需进一步优选项目、提升发展质效，实现健康可持续高质量发展，预计公司2025年末新能源装机约270万千瓦；受另新增汉川四期2×100万千瓦扩建项目（支撑性保障性煤电项目）影响，预计公司2025年末清洁能源占比约25%。感谢您的关注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问总经理郑峰：煤电与新能源业务如何平衡发展？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答：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您好！公司煤电占比超70%，为公司利润的重要支撑，同时煤电的灵活调节能力也是公司新能源建设指标获取的重要支撑，2021以来公司263万千瓦新能源建设指标全部通过煤电灵活调节能力获取。为改变重碳特征明显的资产结构，公司近年来大力发展新能源，全面推动公司绿色低碳转型发展，公司清洁能源装机占比已从2020年5.64%提高到2025年约25%。“十五五”期间公司仍将高质量发展新能源，推动公司进一步绿色低碳转型，预计“十五五”末清洁能源占比提高至28%。感谢您的关注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问总经理郑峰：一季度营收、净利润双降，如何扭转业绩颓势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firstLine="480" w:firstLineChars="200"/>
              <w:contextualSpacing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答：您好！2025年一季度，公司营收、净利润双降，主要原因是售电均价及售电量同比下降，公司积极应对风险挑战，及时制定攻坚行动方案，确定稳存拓增、优化结构、锻造核心竞争力、加强成本管控、强化风险防控、优化激励约束等措施，助力盈利能力逐步恢复。感谢您的关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问总经理郑峰：研发资本化投入预计何时产生收益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答：您好！研发资本化投入产生收益时间与具体项目有关，公司研发投入资本化一般来自于科技项目里的设备费，科技项目围绕解决企业生产经营难点、清洁智能高效发电、供热等开展，待科技项目实际投入运行后，有助于提升公司机组清洁智能高效发电、供热能力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感谢您的关注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问总经理郑峰：容量电价政策对公司长期竞争有何影响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答：您好！公司燃煤机组占比较高，容量电价政策有助于公司回收固定成本，并获取合理收益维持可持续运营，长期来看有助于提升公司竞争力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感谢您的关注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问总经理郑峰：长源电力核心竞争优势如何保持并强化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答：您好！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公司将积极落实公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司战略发展规划，进一步强化经营效益管控，借助国家能源集团“煤炭产运需”一体化运营优势，持续提升公司在“电源布局优势、发电机组经济指标优势、新能源资源获取优势、公司治理与人才优势”等方面的核心竞争力，并力争实现核心竞争优势向经营效益优势的转化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感谢您的关注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问总经理郑峰：新能源项目面临哪些风险，怎样应对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答：您好！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最新发布的关于新能源上网电价市场化改革促进高质量发展的136号文，提出建立新能源可持续发展机制电价，避免过度市场化带来的不确定性，保障新能源企业能够稳定运营。针对可能面临电量电价下降风险，公司将深挖精细化运维潜力，增加设备利用小时数，提高风、光功率预测准确率，减少非必要电量损失。依托专业交易团队的市场研判优势，以更加精准、灵活的方式调整交易策略、优化电价水平，保持公司在激烈市场竞争中的优势地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感谢您的关注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问总经理郑峰：华工创投投资风险怎样管控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答：您好！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华工创投定位于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对科技型中早期的优质企业股权进行投资，提供投后赋能与增值服务，帮助被投资企业快速成长，通过被投企业的价值成长获得公司股权价值提升，从而为公司股东与基金出资人创造投资回报。 公司持续强化对参股企业的投资风险管控，依法参与参股企业决策和监督，积极加强参股企业财务管控，及时获取其财务报告，掌握其财务状况及经营成果等信息；同时注重投资回报，根据公司章程等督促参股企业及时分红，维护股东合法权益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感谢您的关注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高管您好，请问贵公司本期财务报告中，盈利表现如何？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答：您好！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2025年一季度，公司利润总额完成-5,179.17万元，同比减少40,801.04万元，归属于母公司所有者的净利润完成-7,356.67万元，同比减少32,375.24万元，主要原因是售电均价及售电量同比下降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。感谢您的关注！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480" w:firstLineChars="200"/>
              <w:contextualSpacing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高管您好，请问贵公司未来盈利增长的主要驱动因素有哪些？</w:t>
            </w:r>
          </w:p>
          <w:p>
            <w:pPr>
              <w:numPr>
                <w:ilvl w:val="-1"/>
                <w:numId w:val="0"/>
              </w:numPr>
              <w:spacing w:after="0" w:line="380" w:lineRule="exact"/>
              <w:ind w:firstLine="480" w:firstLineChars="200"/>
              <w:contextualSpacing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答：您好！公司未来盈利增长的驱动因素主要体现在以下几个方面：</w:t>
            </w:r>
          </w:p>
          <w:p>
            <w:pPr>
              <w:numPr>
                <w:ilvl w:val="-1"/>
                <w:numId w:val="0"/>
              </w:numPr>
              <w:spacing w:after="0" w:line="380" w:lineRule="exact"/>
              <w:ind w:firstLine="480" w:firstLineChars="200"/>
              <w:contextualSpacing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清洁优质煤电。公司煤电机组均为30万千瓦及以上清洁高效机组，特别是汉川四期2×100万千瓦煤电项目于2025年底实现“双投”后，公司煤电竞争优势更加突出。同时，公司大部分机组处于负荷中心并具有长江黄金水道支持，有利于发挥地理优势，提高机组利用小时。公司供热量持续增长，助推公司向综合能源服务商转型。</w:t>
            </w:r>
          </w:p>
          <w:p>
            <w:pPr>
              <w:numPr>
                <w:ilvl w:val="-1"/>
                <w:numId w:val="0"/>
              </w:numPr>
              <w:spacing w:after="0" w:line="380" w:lineRule="exact"/>
              <w:ind w:firstLine="480" w:firstLineChars="200"/>
              <w:contextualSpacing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多元协同互补。公司拥有“风、光、水、火”四大发电类型，随着新能源跨越式增长，电源结构形成多元化组合。各种电源互为补充，更有利于拓宽公司未来发展空间，积极推动多种能源协同互补、综合利用。</w:t>
            </w:r>
          </w:p>
          <w:p>
            <w:pPr>
              <w:numPr>
                <w:ilvl w:val="-1"/>
                <w:numId w:val="0"/>
              </w:numPr>
              <w:spacing w:after="0" w:line="380" w:lineRule="exact"/>
              <w:ind w:firstLine="480" w:firstLineChars="200"/>
              <w:contextualSpacing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高效智慧运营。加快构建“一中心引领，四区域协同”的新能源运维管理模式，全面推进“云上水电”集中管控，不断提升公司生产运营管理和标准水平，强化安全生产管理、设备运行维护、成本费用管控，增强可持续发展能力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。感谢您的关注！</w:t>
            </w:r>
          </w:p>
          <w:p>
            <w:pPr>
              <w:ind w:firstLine="0" w:firstLineChars="0"/>
              <w:rPr>
                <w:rFonts w:hint="eastAsia" w:ascii="Times New Roman" w:hAnsi="Times New Roman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 w:val="24"/>
                <w:szCs w:val="24"/>
              </w:rPr>
              <w:t>关于本次活动是否涉及应披露重大信息的说明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contextualSpacing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 w:val="24"/>
                <w:szCs w:val="24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活动过程中所使用的演示文稿、提供的文档等附件（如有，可作为附件）</w:t>
            </w:r>
          </w:p>
        </w:tc>
        <w:tc>
          <w:tcPr>
            <w:tcW w:w="7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无</w:t>
            </w:r>
          </w:p>
        </w:tc>
      </w:tr>
    </w:tbl>
    <w:p>
      <w:pPr>
        <w:pStyle w:val="6"/>
        <w:spacing w:after="0" w:line="240" w:lineRule="auto"/>
        <w:ind w:firstLine="0" w:firstLineChars="0"/>
        <w:rPr>
          <w:rFonts w:hint="default" w:ascii="Times New Roman" w:hAnsi="Times New Roman" w:cs="Times New Roman"/>
          <w:sz w:val="21"/>
          <w:szCs w:val="21"/>
        </w:rPr>
      </w:pPr>
    </w:p>
    <w:p/>
    <w:sectPr>
      <w:footerReference r:id="rId5" w:type="default"/>
      <w:pgSz w:w="12240" w:h="15840"/>
      <w:pgMar w:top="1134" w:right="1701" w:bottom="1134" w:left="1701" w:header="567" w:footer="56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F982CC"/>
    <w:multiLevelType w:val="singleLevel"/>
    <w:tmpl w:val="A1F982C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812D1"/>
    <w:rsid w:val="02702FA4"/>
    <w:rsid w:val="03EB5645"/>
    <w:rsid w:val="05957C05"/>
    <w:rsid w:val="083812D1"/>
    <w:rsid w:val="0CD16DB4"/>
    <w:rsid w:val="13757ACD"/>
    <w:rsid w:val="159D54DD"/>
    <w:rsid w:val="16806CCF"/>
    <w:rsid w:val="195C7A6F"/>
    <w:rsid w:val="19F530A3"/>
    <w:rsid w:val="1A592637"/>
    <w:rsid w:val="1AA05F1D"/>
    <w:rsid w:val="1B8F1D8F"/>
    <w:rsid w:val="1D7813D1"/>
    <w:rsid w:val="1D8E5120"/>
    <w:rsid w:val="1E982BF1"/>
    <w:rsid w:val="21D10405"/>
    <w:rsid w:val="26756977"/>
    <w:rsid w:val="268F4028"/>
    <w:rsid w:val="29085450"/>
    <w:rsid w:val="2AAC182B"/>
    <w:rsid w:val="2E700DE4"/>
    <w:rsid w:val="2F7420ED"/>
    <w:rsid w:val="30572119"/>
    <w:rsid w:val="31A43150"/>
    <w:rsid w:val="32A52E02"/>
    <w:rsid w:val="34BC7662"/>
    <w:rsid w:val="3549260A"/>
    <w:rsid w:val="36732A0F"/>
    <w:rsid w:val="39CC343D"/>
    <w:rsid w:val="3ACA0417"/>
    <w:rsid w:val="3C792D83"/>
    <w:rsid w:val="3E4601B0"/>
    <w:rsid w:val="3E614983"/>
    <w:rsid w:val="40EF5725"/>
    <w:rsid w:val="41857993"/>
    <w:rsid w:val="436C3967"/>
    <w:rsid w:val="44907CC1"/>
    <w:rsid w:val="475C7D83"/>
    <w:rsid w:val="49345036"/>
    <w:rsid w:val="4B453A41"/>
    <w:rsid w:val="4B5E0443"/>
    <w:rsid w:val="4CDD0076"/>
    <w:rsid w:val="4D5667AB"/>
    <w:rsid w:val="4DDD110E"/>
    <w:rsid w:val="4E1919F8"/>
    <w:rsid w:val="4E676C7D"/>
    <w:rsid w:val="511469B1"/>
    <w:rsid w:val="513335B2"/>
    <w:rsid w:val="514935C9"/>
    <w:rsid w:val="55F76965"/>
    <w:rsid w:val="569B3B0C"/>
    <w:rsid w:val="57545A82"/>
    <w:rsid w:val="5B653234"/>
    <w:rsid w:val="5C0C3353"/>
    <w:rsid w:val="5CF33B90"/>
    <w:rsid w:val="5E9C27B0"/>
    <w:rsid w:val="5EA94AA2"/>
    <w:rsid w:val="5EC50F25"/>
    <w:rsid w:val="5FB61453"/>
    <w:rsid w:val="62FC7E58"/>
    <w:rsid w:val="664F2482"/>
    <w:rsid w:val="6A23791F"/>
    <w:rsid w:val="6AE75B9E"/>
    <w:rsid w:val="6CF61FC1"/>
    <w:rsid w:val="6D1B2A48"/>
    <w:rsid w:val="6D722D12"/>
    <w:rsid w:val="6EC863D7"/>
    <w:rsid w:val="73591031"/>
    <w:rsid w:val="73D80D2C"/>
    <w:rsid w:val="76B34C37"/>
    <w:rsid w:val="77676EE5"/>
    <w:rsid w:val="79663F11"/>
    <w:rsid w:val="7E91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keepNext/>
      <w:keepLines/>
      <w:widowControl w:val="0"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cy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2022-03-30T06:53:00Z</dcterms:created>
  <dc:creator>叶建兵</dc:creator>
  <cp:lastModifiedBy>刘硕02</cp:lastModifiedBy>
  <dcterms:modified xsi:type="dcterms:W3CDTF">2025-05-21T09:22:34Z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D673D5FE2CF540EFAED47DA700DEF741</vt:lpwstr>
  </property>
</Properties>
</file>