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440" w:lineRule="exact"/>
        <w:contextualSpacing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证券代码：000966         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证券简称：长源电力      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 xml:space="preserve"> </w:t>
      </w:r>
      <w:r>
        <w:rPr>
          <w:rFonts w:hint="eastAsia" w:cs="Times New Roman"/>
          <w:color w:val="0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>公告编号：</w:t>
      </w:r>
      <w:r>
        <w:rPr>
          <w:rFonts w:hint="eastAsia" w:cs="Times New Roman"/>
          <w:color w:val="000000"/>
          <w:sz w:val="24"/>
          <w:szCs w:val="24"/>
          <w:highlight w:val="none"/>
          <w:lang w:val="en-US" w:eastAsia="zh-CN"/>
        </w:rPr>
        <w:t xml:space="preserve">2026-043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highlight w:val="none"/>
          <w:lang w:eastAsia="zh-CN"/>
        </w:rPr>
        <w:t>国家能源集团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长源电力股份有限公司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2026年半年度业绩预告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本公司及董事会全体成员保证信息披露的内容真实、准确、完整，没有虚假记载、误导性陈述或重大遗漏。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80" w:lineRule="exact"/>
        <w:contextualSpacing/>
        <w:textAlignment w:val="auto"/>
        <w:rPr>
          <w:rFonts w:hint="default" w:ascii="Times New Roman" w:hAnsi="Times New Roman" w:eastAsia="宋体" w:cs="Times New Roman"/>
          <w:b/>
          <w:color w:val="00000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eastAsia="zh-CN"/>
        </w:rPr>
        <w:t>一、本期业绩预计情况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  <w:t>（一）业绩预告期间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  <w:t>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  <w:t>年1月1日–20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26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  <w:t>月3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  <w:t>（二）业绩预告情况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  <w:t>预计净利润</w:t>
      </w:r>
      <w:r>
        <w:rPr>
          <w:rFonts w:hint="eastAsia" w:cs="Times New Roman"/>
          <w:color w:val="000000"/>
          <w:sz w:val="24"/>
          <w:szCs w:val="24"/>
          <w:lang w:eastAsia="zh-CN"/>
        </w:rPr>
        <w:t>同向上升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。</w:t>
      </w:r>
      <w:r>
        <w:rPr>
          <w:rFonts w:hint="default" w:cs="Times New Roman"/>
          <w:color w:val="000000"/>
          <w:sz w:val="24"/>
          <w:szCs w:val="24"/>
          <w:lang w:val="en-US" w:eastAsia="zh-CN"/>
        </w:rPr>
        <w:t xml:space="preserve"> 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3919"/>
        <w:gridCol w:w="2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240"/>
              </w:tabs>
              <w:spacing w:line="38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szCs w:val="24"/>
              </w:rPr>
              <w:t>项  目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240"/>
              </w:tabs>
              <w:spacing w:line="38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szCs w:val="24"/>
              </w:rPr>
              <w:t>本报告期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240"/>
              </w:tabs>
              <w:spacing w:line="38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szCs w:val="24"/>
              </w:rPr>
              <w:t>上年同期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4"/>
              <w:spacing w:line="38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归属于上市公司股东的净利润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240"/>
              </w:tabs>
              <w:spacing w:line="38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eastAsia="zh-CN"/>
              </w:rPr>
              <w:t>盈利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14,900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万元–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21,500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万元</w:t>
            </w:r>
          </w:p>
        </w:tc>
        <w:tc>
          <w:tcPr>
            <w:tcW w:w="26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240"/>
              </w:tabs>
              <w:spacing w:line="38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eastAsia="zh-CN"/>
              </w:rPr>
              <w:t>盈利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：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9,482.21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4"/>
              <w:spacing w:line="380" w:lineRule="exact"/>
              <w:ind w:firstLine="48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240"/>
              </w:tabs>
              <w:spacing w:line="38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比上年同期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eastAsia="zh-CN"/>
              </w:rPr>
              <w:t>增长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57.14</w:t>
            </w:r>
            <w:r>
              <w:rPr>
                <w:rFonts w:hint="default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–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126.74</w:t>
            </w:r>
            <w:r>
              <w:rPr>
                <w:rFonts w:hint="default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  <w:tc>
          <w:tcPr>
            <w:tcW w:w="26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240"/>
              </w:tabs>
              <w:spacing w:line="380" w:lineRule="exact"/>
              <w:ind w:firstLine="480" w:firstLineChars="2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96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4"/>
              <w:spacing w:line="38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扣除非经常性损益后的净利润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240"/>
              </w:tabs>
              <w:spacing w:line="38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eastAsia="zh-CN"/>
              </w:rPr>
              <w:t>盈利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13,900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万元–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20,500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万元</w:t>
            </w:r>
          </w:p>
        </w:tc>
        <w:tc>
          <w:tcPr>
            <w:tcW w:w="26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240"/>
              </w:tabs>
              <w:spacing w:line="38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eastAsia="zh-CN"/>
              </w:rPr>
              <w:t>盈利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：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7,270.02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4"/>
              <w:spacing w:line="38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240"/>
              </w:tabs>
              <w:spacing w:line="38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比上年同期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eastAsia="zh-CN"/>
              </w:rPr>
              <w:t>增长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91.20</w:t>
            </w:r>
            <w:r>
              <w:rPr>
                <w:rFonts w:hint="default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–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181.98</w:t>
            </w:r>
            <w:r>
              <w:rPr>
                <w:rFonts w:hint="default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  <w:tc>
          <w:tcPr>
            <w:tcW w:w="26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240"/>
              </w:tabs>
              <w:spacing w:line="380" w:lineRule="exact"/>
              <w:ind w:firstLine="480" w:firstLineChars="2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4"/>
              <w:spacing w:line="38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基本每股收益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240"/>
              </w:tabs>
              <w:spacing w:line="38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eastAsia="zh-CN"/>
              </w:rPr>
              <w:t>盈利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0.0428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元/股–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0.0618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元/股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240"/>
              </w:tabs>
              <w:spacing w:line="38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eastAsia="zh-CN"/>
              </w:rPr>
              <w:t>盈利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：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0.0272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元/股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二、与会计师事务所沟通情况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本次业绩预告相关数据是公司财务部门初步核算的结果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，未经会计师事务所审计，公司已就业绩预告有关事项与会计师事务所进行了预沟通，公司与会计师事务所在本次业绩预告方面不存在分歧。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三、业绩变动原因说明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公司净利润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较上年同期增长主</w:t>
      </w:r>
      <w:bookmarkStart w:id="0" w:name="_GoBack"/>
      <w:bookmarkEnd w:id="0"/>
      <w:r>
        <w:rPr>
          <w:rFonts w:hint="eastAsia" w:cs="Times New Roman"/>
          <w:color w:val="000000"/>
          <w:sz w:val="24"/>
          <w:szCs w:val="24"/>
          <w:lang w:val="en-US" w:eastAsia="zh-CN"/>
        </w:rPr>
        <w:t>要原因：一是入炉综合标煤单价同比下降；二是投资收益同比增加；三是售电均价同比上升。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四、</w:t>
      </w:r>
      <w:r>
        <w:rPr>
          <w:rFonts w:hint="eastAsia" w:cs="Times New Roman"/>
          <w:b/>
          <w:bCs/>
          <w:color w:val="000000"/>
          <w:sz w:val="24"/>
          <w:szCs w:val="24"/>
          <w:lang w:val="en-US" w:eastAsia="zh-CN"/>
        </w:rPr>
        <w:t>风险提示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本次业绩预告数据为公司初步核算结果，尚存在不确定性，具体数据将在公司202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半年度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报告中详细披露，敬请广大投资者谨慎决策，注意投资风险。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default" w:ascii="Times New Roman" w:hAnsi="Times New Roman" w:cs="Times New Roman"/>
          <w:color w:val="000000"/>
          <w:sz w:val="24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特此公告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right"/>
        <w:textAlignment w:val="auto"/>
        <w:rPr>
          <w:rFonts w:hint="default" w:ascii="Times New Roman" w:hAnsi="Times New Roman" w:eastAsia="宋体" w:cs="Times New Roman"/>
          <w:color w:val="000000"/>
          <w:sz w:val="24"/>
          <w:highlight w:val="none"/>
        </w:rPr>
      </w:pPr>
      <w:r>
        <w:rPr>
          <w:rFonts w:hint="default" w:ascii="Times New Roman" w:hAnsi="Times New Roman" w:cs="Times New Roman"/>
          <w:color w:val="000000"/>
          <w:sz w:val="24"/>
          <w:highlight w:val="none"/>
          <w:lang w:eastAsia="zh-CN"/>
        </w:rPr>
        <w:t>国家能源集团</w:t>
      </w:r>
      <w:r>
        <w:rPr>
          <w:rFonts w:hint="default" w:ascii="Times New Roman" w:hAnsi="Times New Roman" w:eastAsia="宋体" w:cs="Times New Roman"/>
          <w:color w:val="000000"/>
          <w:sz w:val="24"/>
          <w:highlight w:val="none"/>
        </w:rPr>
        <w:t>长源电力股份有限公司董事会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right="720" w:firstLine="5040" w:firstLineChars="2100"/>
        <w:contextualSpacing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highlight w:val="none"/>
        </w:rPr>
        <w:t>20</w:t>
      </w:r>
      <w:r>
        <w:rPr>
          <w:rFonts w:hint="default" w:ascii="Times New Roman" w:hAnsi="Times New Roman" w:eastAsia="宋体" w:cs="Times New Roman"/>
          <w:color w:val="000000"/>
          <w:sz w:val="24"/>
          <w:highlight w:val="none"/>
          <w:lang w:val="en-US" w:eastAsia="zh-CN"/>
        </w:rPr>
        <w:t>2</w:t>
      </w:r>
      <w:r>
        <w:rPr>
          <w:rFonts w:hint="eastAsia" w:cs="Times New Roman"/>
          <w:color w:val="000000"/>
          <w:sz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highlight w:val="none"/>
        </w:rPr>
        <w:t>年</w:t>
      </w:r>
      <w:r>
        <w:rPr>
          <w:rFonts w:hint="eastAsia" w:cs="Times New Roman"/>
          <w:color w:val="000000"/>
          <w:sz w:val="24"/>
          <w:highlight w:val="non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highlight w:val="none"/>
        </w:rPr>
        <w:t>月</w:t>
      </w:r>
      <w:r>
        <w:rPr>
          <w:rFonts w:hint="eastAsia" w:cs="Times New Roman"/>
          <w:color w:val="000000"/>
          <w:sz w:val="24"/>
          <w:highlight w:val="none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highlight w:val="none"/>
        </w:rPr>
        <w:t>日</w:t>
      </w:r>
      <w:r>
        <w:rPr>
          <w:rFonts w:hint="default" w:ascii="Times New Roman" w:hAnsi="Times New Roman" w:cs="Times New Roman"/>
          <w:color w:val="000000"/>
          <w:sz w:val="24"/>
          <w:highlight w:val="none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EF6"/>
    <w:rsid w:val="000F30F8"/>
    <w:rsid w:val="001C15AA"/>
    <w:rsid w:val="002E6CA0"/>
    <w:rsid w:val="00373A1F"/>
    <w:rsid w:val="003778AF"/>
    <w:rsid w:val="003B228D"/>
    <w:rsid w:val="00407C6C"/>
    <w:rsid w:val="00415AC6"/>
    <w:rsid w:val="004545AE"/>
    <w:rsid w:val="00470A7F"/>
    <w:rsid w:val="004E0002"/>
    <w:rsid w:val="00595E78"/>
    <w:rsid w:val="005A6B7D"/>
    <w:rsid w:val="006D7D45"/>
    <w:rsid w:val="0079402C"/>
    <w:rsid w:val="007F305A"/>
    <w:rsid w:val="00817009"/>
    <w:rsid w:val="00921479"/>
    <w:rsid w:val="00A52865"/>
    <w:rsid w:val="00A924DF"/>
    <w:rsid w:val="00B84E75"/>
    <w:rsid w:val="00BF3796"/>
    <w:rsid w:val="00CE065F"/>
    <w:rsid w:val="00D63EF6"/>
    <w:rsid w:val="00D7425F"/>
    <w:rsid w:val="00D9102A"/>
    <w:rsid w:val="00DB4F04"/>
    <w:rsid w:val="00F32491"/>
    <w:rsid w:val="00F83ED7"/>
    <w:rsid w:val="02571FE0"/>
    <w:rsid w:val="034B303A"/>
    <w:rsid w:val="03C14CDE"/>
    <w:rsid w:val="03C76B8A"/>
    <w:rsid w:val="04150C01"/>
    <w:rsid w:val="054D038E"/>
    <w:rsid w:val="077E2E7E"/>
    <w:rsid w:val="079C44FE"/>
    <w:rsid w:val="07D97FB6"/>
    <w:rsid w:val="08650AA4"/>
    <w:rsid w:val="08D06ECB"/>
    <w:rsid w:val="092373F7"/>
    <w:rsid w:val="09323FCD"/>
    <w:rsid w:val="09AE1421"/>
    <w:rsid w:val="0A0F61B1"/>
    <w:rsid w:val="0AAC5185"/>
    <w:rsid w:val="0B994DFD"/>
    <w:rsid w:val="0C184B7D"/>
    <w:rsid w:val="0C1B3EAE"/>
    <w:rsid w:val="0D2E27CF"/>
    <w:rsid w:val="0DC75A04"/>
    <w:rsid w:val="0DED57FC"/>
    <w:rsid w:val="0E0F67A6"/>
    <w:rsid w:val="0EB81346"/>
    <w:rsid w:val="0FE76CF9"/>
    <w:rsid w:val="0FEA2997"/>
    <w:rsid w:val="0FFB705A"/>
    <w:rsid w:val="0FFE08C3"/>
    <w:rsid w:val="101C3B8A"/>
    <w:rsid w:val="10920CD9"/>
    <w:rsid w:val="10983875"/>
    <w:rsid w:val="10D34C64"/>
    <w:rsid w:val="10F31488"/>
    <w:rsid w:val="11144512"/>
    <w:rsid w:val="1184362F"/>
    <w:rsid w:val="123965B1"/>
    <w:rsid w:val="13E739D1"/>
    <w:rsid w:val="14167D16"/>
    <w:rsid w:val="142E3735"/>
    <w:rsid w:val="145E2EF2"/>
    <w:rsid w:val="146159D4"/>
    <w:rsid w:val="14F57730"/>
    <w:rsid w:val="150C2692"/>
    <w:rsid w:val="155C2498"/>
    <w:rsid w:val="168113FC"/>
    <w:rsid w:val="175D2D81"/>
    <w:rsid w:val="18C2679F"/>
    <w:rsid w:val="195C6123"/>
    <w:rsid w:val="19A53246"/>
    <w:rsid w:val="19CD508E"/>
    <w:rsid w:val="1A86735B"/>
    <w:rsid w:val="1A8758C6"/>
    <w:rsid w:val="1AC2020D"/>
    <w:rsid w:val="1C221554"/>
    <w:rsid w:val="1C3861E9"/>
    <w:rsid w:val="1C413D52"/>
    <w:rsid w:val="1C6C10A3"/>
    <w:rsid w:val="1C7E0552"/>
    <w:rsid w:val="1CAE3BD6"/>
    <w:rsid w:val="1CCF3871"/>
    <w:rsid w:val="1CF23D6F"/>
    <w:rsid w:val="1CFF7CD8"/>
    <w:rsid w:val="1D3F2B32"/>
    <w:rsid w:val="1E9209D9"/>
    <w:rsid w:val="1F370C66"/>
    <w:rsid w:val="1F9F7E1C"/>
    <w:rsid w:val="1FE6358C"/>
    <w:rsid w:val="202B2ACC"/>
    <w:rsid w:val="20393195"/>
    <w:rsid w:val="20732A3A"/>
    <w:rsid w:val="20C91A8E"/>
    <w:rsid w:val="2127452F"/>
    <w:rsid w:val="2164607C"/>
    <w:rsid w:val="21693339"/>
    <w:rsid w:val="22376005"/>
    <w:rsid w:val="225D5261"/>
    <w:rsid w:val="22E65FDF"/>
    <w:rsid w:val="23142803"/>
    <w:rsid w:val="23282516"/>
    <w:rsid w:val="23C4535E"/>
    <w:rsid w:val="24224C9F"/>
    <w:rsid w:val="24D91454"/>
    <w:rsid w:val="25D43215"/>
    <w:rsid w:val="25EC1390"/>
    <w:rsid w:val="25EE7CCC"/>
    <w:rsid w:val="26376156"/>
    <w:rsid w:val="26BB49E8"/>
    <w:rsid w:val="28B31693"/>
    <w:rsid w:val="29163728"/>
    <w:rsid w:val="297B3918"/>
    <w:rsid w:val="2A1049A8"/>
    <w:rsid w:val="2AD34BE5"/>
    <w:rsid w:val="2AF1096B"/>
    <w:rsid w:val="2CA95107"/>
    <w:rsid w:val="2D7A7C75"/>
    <w:rsid w:val="2D8E4BA3"/>
    <w:rsid w:val="2D9F2759"/>
    <w:rsid w:val="2E995860"/>
    <w:rsid w:val="2ED8732C"/>
    <w:rsid w:val="2F247A39"/>
    <w:rsid w:val="2F8A3921"/>
    <w:rsid w:val="327A777C"/>
    <w:rsid w:val="338E2F50"/>
    <w:rsid w:val="352C3855"/>
    <w:rsid w:val="35D77C6B"/>
    <w:rsid w:val="36D8344F"/>
    <w:rsid w:val="377516F5"/>
    <w:rsid w:val="37E44D38"/>
    <w:rsid w:val="37EF36CD"/>
    <w:rsid w:val="3A873ADF"/>
    <w:rsid w:val="3B580F47"/>
    <w:rsid w:val="3C511833"/>
    <w:rsid w:val="3CB95051"/>
    <w:rsid w:val="3CF82890"/>
    <w:rsid w:val="3D9C2338"/>
    <w:rsid w:val="3E020397"/>
    <w:rsid w:val="3E361BB6"/>
    <w:rsid w:val="3F296B99"/>
    <w:rsid w:val="3F6A5E42"/>
    <w:rsid w:val="3FD42855"/>
    <w:rsid w:val="3FD50EDE"/>
    <w:rsid w:val="400740FE"/>
    <w:rsid w:val="40334637"/>
    <w:rsid w:val="40806D02"/>
    <w:rsid w:val="410D07A5"/>
    <w:rsid w:val="41457697"/>
    <w:rsid w:val="416D4F0B"/>
    <w:rsid w:val="4405715F"/>
    <w:rsid w:val="44660D97"/>
    <w:rsid w:val="4525538B"/>
    <w:rsid w:val="45EB2751"/>
    <w:rsid w:val="469A426F"/>
    <w:rsid w:val="46C1659C"/>
    <w:rsid w:val="47E83287"/>
    <w:rsid w:val="48305E26"/>
    <w:rsid w:val="48AE4640"/>
    <w:rsid w:val="4960087E"/>
    <w:rsid w:val="49A3333F"/>
    <w:rsid w:val="49F93B82"/>
    <w:rsid w:val="4A0E7BAE"/>
    <w:rsid w:val="4A2C10A9"/>
    <w:rsid w:val="4A996AEE"/>
    <w:rsid w:val="4B63277C"/>
    <w:rsid w:val="4C66169A"/>
    <w:rsid w:val="4C9B0A5A"/>
    <w:rsid w:val="4E734A20"/>
    <w:rsid w:val="4E781E41"/>
    <w:rsid w:val="4F4B0C2C"/>
    <w:rsid w:val="50354FC7"/>
    <w:rsid w:val="51CC11CB"/>
    <w:rsid w:val="52871084"/>
    <w:rsid w:val="52FC26F7"/>
    <w:rsid w:val="53351E25"/>
    <w:rsid w:val="53374EAC"/>
    <w:rsid w:val="53A34D87"/>
    <w:rsid w:val="54577045"/>
    <w:rsid w:val="547D1EDE"/>
    <w:rsid w:val="548A5A57"/>
    <w:rsid w:val="551B30A9"/>
    <w:rsid w:val="557D7E3E"/>
    <w:rsid w:val="56903A69"/>
    <w:rsid w:val="56945C7B"/>
    <w:rsid w:val="573F36B5"/>
    <w:rsid w:val="5856435E"/>
    <w:rsid w:val="59852EA8"/>
    <w:rsid w:val="5A3B3F57"/>
    <w:rsid w:val="5B2D04B9"/>
    <w:rsid w:val="5B564583"/>
    <w:rsid w:val="5B675DF0"/>
    <w:rsid w:val="5C505821"/>
    <w:rsid w:val="5DCF19FD"/>
    <w:rsid w:val="5DEA4A4D"/>
    <w:rsid w:val="5E9B7D58"/>
    <w:rsid w:val="5ECA56B1"/>
    <w:rsid w:val="60846C84"/>
    <w:rsid w:val="60A7327C"/>
    <w:rsid w:val="61D549EB"/>
    <w:rsid w:val="622D67C6"/>
    <w:rsid w:val="635C63C5"/>
    <w:rsid w:val="63F52151"/>
    <w:rsid w:val="640D59C3"/>
    <w:rsid w:val="64511A4F"/>
    <w:rsid w:val="645F0D98"/>
    <w:rsid w:val="64C82695"/>
    <w:rsid w:val="652B3ED6"/>
    <w:rsid w:val="654149B7"/>
    <w:rsid w:val="66B76500"/>
    <w:rsid w:val="684A5AA5"/>
    <w:rsid w:val="69BD53DE"/>
    <w:rsid w:val="69E41518"/>
    <w:rsid w:val="6A6D5C81"/>
    <w:rsid w:val="6B1233E8"/>
    <w:rsid w:val="6B164282"/>
    <w:rsid w:val="6B443A39"/>
    <w:rsid w:val="6C315422"/>
    <w:rsid w:val="6D0E24E5"/>
    <w:rsid w:val="6D6830E2"/>
    <w:rsid w:val="6D6F2577"/>
    <w:rsid w:val="6DA44E55"/>
    <w:rsid w:val="6DE14664"/>
    <w:rsid w:val="6E291EA5"/>
    <w:rsid w:val="6E5048B4"/>
    <w:rsid w:val="6E513FB1"/>
    <w:rsid w:val="6E5D4F68"/>
    <w:rsid w:val="6EB07E81"/>
    <w:rsid w:val="6F5B6881"/>
    <w:rsid w:val="703A413A"/>
    <w:rsid w:val="717A18B3"/>
    <w:rsid w:val="71AB3BDF"/>
    <w:rsid w:val="71D51AF5"/>
    <w:rsid w:val="729754B4"/>
    <w:rsid w:val="72D50035"/>
    <w:rsid w:val="73312101"/>
    <w:rsid w:val="7373248E"/>
    <w:rsid w:val="74530CDD"/>
    <w:rsid w:val="74880BE7"/>
    <w:rsid w:val="74E10679"/>
    <w:rsid w:val="74EC13CA"/>
    <w:rsid w:val="75051CF2"/>
    <w:rsid w:val="75DC69DA"/>
    <w:rsid w:val="764D7193"/>
    <w:rsid w:val="76941081"/>
    <w:rsid w:val="769F17F7"/>
    <w:rsid w:val="76AD3219"/>
    <w:rsid w:val="76D10CEA"/>
    <w:rsid w:val="76F7354D"/>
    <w:rsid w:val="77467DFE"/>
    <w:rsid w:val="77A65639"/>
    <w:rsid w:val="782B44A5"/>
    <w:rsid w:val="7A1122D8"/>
    <w:rsid w:val="7A3F1569"/>
    <w:rsid w:val="7A4310DB"/>
    <w:rsid w:val="7B147C35"/>
    <w:rsid w:val="7C02027E"/>
    <w:rsid w:val="7C552771"/>
    <w:rsid w:val="7D3D1BAC"/>
    <w:rsid w:val="7D7A18C8"/>
    <w:rsid w:val="7E5D5112"/>
    <w:rsid w:val="7E6B3AD2"/>
    <w:rsid w:val="7E6B66AB"/>
    <w:rsid w:val="7E6C0947"/>
    <w:rsid w:val="7E806EC5"/>
    <w:rsid w:val="7EBE4F1D"/>
    <w:rsid w:val="7FA95C3C"/>
    <w:rsid w:val="7FBD5FAF"/>
    <w:rsid w:val="7FCD68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keepNext/>
      <w:keepLines/>
      <w:widowControl w:val="0"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jc w:val="center"/>
    </w:pPr>
    <w:rPr>
      <w:sz w:val="52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next w:val="6"/>
    <w:qFormat/>
    <w:uiPriority w:val="0"/>
    <w:rPr>
      <w:rFonts w:ascii="Arial" w:hAnsi="Arial" w:eastAsia="宋体" w:cs="Times New Roman"/>
      <w:sz w:val="24"/>
      <w:lang w:val="en-US" w:eastAsia="zh-CN" w:bidi="ar-SA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Char"/>
    <w:basedOn w:val="10"/>
    <w:link w:val="5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10"/>
    <w:link w:val="6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1"/>
    <w:pPr>
      <w:ind w:left="511"/>
    </w:pPr>
  </w:style>
  <w:style w:type="paragraph" w:styleId="14">
    <w:name w:val="No Spacing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国电长源电力股份有限公司</Company>
  <Pages>2</Pages>
  <Words>213</Words>
  <Characters>1220</Characters>
  <Lines>10</Lines>
  <Paragraphs>2</Paragraphs>
  <TotalTime>52</TotalTime>
  <ScaleCrop>false</ScaleCrop>
  <LinksUpToDate>false</LinksUpToDate>
  <CharactersWithSpaces>1431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2016-06-13T08:55:00Z</dcterms:created>
  <dc:creator>毋亮/国电长源电力股份有限公司</dc:creator>
  <cp:lastModifiedBy>刘硕02</cp:lastModifiedBy>
  <dcterms:modified xsi:type="dcterms:W3CDTF">2026-07-14T07:17:33Z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CCC08D72D6E441CB944345BCCFC8DD9D</vt:lpwstr>
  </property>
</Properties>
</file>